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72BA" w14:textId="77777777" w:rsidR="001B2047" w:rsidRPr="001B2047" w:rsidRDefault="001B2047" w:rsidP="00F2235F">
      <w:pPr>
        <w:spacing w:before="120"/>
        <w:ind w:left="1440"/>
        <w:rPr>
          <w:rFonts w:ascii="Arial" w:hAnsi="Arial" w:cs="Arial"/>
        </w:rPr>
      </w:pPr>
    </w:p>
    <w:p w14:paraId="79832082" w14:textId="3279E9F5" w:rsidR="00F93B5F" w:rsidRDefault="00F93B5F" w:rsidP="00F93B5F">
      <w:pPr>
        <w:spacing w:before="120"/>
        <w:jc w:val="center"/>
        <w:rPr>
          <w:sz w:val="28"/>
          <w:szCs w:val="28"/>
        </w:rPr>
      </w:pPr>
      <w:r>
        <w:rPr>
          <w:sz w:val="28"/>
          <w:szCs w:val="28"/>
        </w:rPr>
        <w:t>April 202</w:t>
      </w:r>
      <w:r w:rsidR="00CD1060">
        <w:rPr>
          <w:sz w:val="28"/>
          <w:szCs w:val="28"/>
        </w:rPr>
        <w:t>4</w:t>
      </w:r>
    </w:p>
    <w:p w14:paraId="36832219" w14:textId="77777777" w:rsidR="00F93B5F" w:rsidRDefault="00F93B5F" w:rsidP="00F93B5F">
      <w:pPr>
        <w:spacing w:before="120"/>
        <w:jc w:val="center"/>
        <w:rPr>
          <w:sz w:val="60"/>
          <w:szCs w:val="60"/>
        </w:rPr>
      </w:pPr>
      <w:r>
        <w:rPr>
          <w:sz w:val="60"/>
          <w:szCs w:val="60"/>
        </w:rPr>
        <w:t>Economic Data Point</w:t>
      </w:r>
    </w:p>
    <w:p w14:paraId="5FBFF11F" w14:textId="77777777" w:rsidR="00F93B5F" w:rsidRDefault="00F93B5F" w:rsidP="00F93B5F">
      <w:pPr>
        <w:autoSpaceDE w:val="0"/>
        <w:autoSpaceDN w:val="0"/>
        <w:adjustRightInd w:val="0"/>
        <w:spacing w:before="120"/>
        <w:rPr>
          <w:rFonts w:ascii="Arial" w:hAnsi="Arial" w:cs="Arial"/>
          <w:sz w:val="12"/>
          <w:szCs w:val="12"/>
        </w:rPr>
      </w:pPr>
    </w:p>
    <w:p w14:paraId="61921C82" w14:textId="77777777" w:rsidR="00F93B5F" w:rsidRDefault="00F93B5F" w:rsidP="00F93B5F">
      <w:pPr>
        <w:widowControl w:val="0"/>
        <w:spacing w:before="120" w:line="264" w:lineRule="auto"/>
        <w:jc w:val="center"/>
        <w:rPr>
          <w:rFonts w:ascii="Arial" w:hAnsi="Arial" w:cs="Arial"/>
          <w:b/>
          <w:color w:val="0070C0"/>
          <w:sz w:val="28"/>
          <w:szCs w:val="28"/>
        </w:rPr>
      </w:pPr>
      <w:r>
        <w:rPr>
          <w:rFonts w:ascii="Arial" w:hAnsi="Arial" w:cs="Arial"/>
          <w:b/>
          <w:color w:val="0070C0"/>
          <w:sz w:val="28"/>
          <w:szCs w:val="28"/>
        </w:rPr>
        <w:t xml:space="preserve">County's Largest Taxpayers </w:t>
      </w:r>
    </w:p>
    <w:p w14:paraId="3D5C96CC" w14:textId="5922B974" w:rsidR="00F93B5F" w:rsidRDefault="00F93B5F" w:rsidP="00F93B5F">
      <w:pPr>
        <w:widowControl w:val="0"/>
        <w:spacing w:before="120" w:line="264" w:lineRule="auto"/>
        <w:rPr>
          <w:rFonts w:ascii="Arial" w:hAnsi="Arial" w:cs="Arial"/>
          <w:szCs w:val="22"/>
        </w:rPr>
      </w:pPr>
      <w:r>
        <w:rPr>
          <w:rFonts w:ascii="Arial" w:hAnsi="Arial" w:cs="Arial"/>
          <w:szCs w:val="22"/>
        </w:rPr>
        <w:t>Most businesses and residents keep a close eye on their tax bill. The top 20 taxpayers in Miami County for 202</w:t>
      </w:r>
      <w:r w:rsidR="00CD1060">
        <w:rPr>
          <w:rFonts w:ascii="Arial" w:hAnsi="Arial" w:cs="Arial"/>
          <w:szCs w:val="22"/>
        </w:rPr>
        <w:t>3</w:t>
      </w:r>
      <w:r>
        <w:rPr>
          <w:rFonts w:ascii="Arial" w:hAnsi="Arial" w:cs="Arial"/>
          <w:szCs w:val="22"/>
        </w:rPr>
        <w:t xml:space="preserve"> represent more than $8</w:t>
      </w:r>
      <w:r w:rsidR="00CD1060">
        <w:rPr>
          <w:rFonts w:ascii="Arial" w:hAnsi="Arial" w:cs="Arial"/>
          <w:szCs w:val="22"/>
        </w:rPr>
        <w:t>7.5</w:t>
      </w:r>
      <w:r>
        <w:rPr>
          <w:rFonts w:ascii="Arial" w:hAnsi="Arial" w:cs="Arial"/>
          <w:szCs w:val="22"/>
        </w:rPr>
        <w:t xml:space="preserve"> million in assessed valuation accounting for slightly more tha</w:t>
      </w:r>
      <w:r w:rsidRPr="006C28A1">
        <w:rPr>
          <w:rFonts w:ascii="Arial" w:hAnsi="Arial" w:cs="Arial"/>
          <w:szCs w:val="22"/>
        </w:rPr>
        <w:t>n 1</w:t>
      </w:r>
      <w:r w:rsidR="006C28A1" w:rsidRPr="006C28A1">
        <w:rPr>
          <w:rFonts w:ascii="Arial" w:hAnsi="Arial" w:cs="Arial"/>
          <w:szCs w:val="22"/>
        </w:rPr>
        <w:t>3</w:t>
      </w:r>
      <w:r w:rsidRPr="006C28A1">
        <w:rPr>
          <w:rFonts w:ascii="Arial" w:hAnsi="Arial" w:cs="Arial"/>
          <w:szCs w:val="22"/>
        </w:rPr>
        <w:t>% of</w:t>
      </w:r>
      <w:r>
        <w:rPr>
          <w:rFonts w:ascii="Arial" w:hAnsi="Arial" w:cs="Arial"/>
          <w:szCs w:val="22"/>
        </w:rPr>
        <w:t xml:space="preserve"> the county’s overall valuation. Those in the top 20 combined to pay more than $9.</w:t>
      </w:r>
      <w:r w:rsidR="00CD1060">
        <w:rPr>
          <w:rFonts w:ascii="Arial" w:hAnsi="Arial" w:cs="Arial"/>
          <w:szCs w:val="22"/>
        </w:rPr>
        <w:t>6</w:t>
      </w:r>
      <w:r>
        <w:rPr>
          <w:rFonts w:ascii="Arial" w:hAnsi="Arial" w:cs="Arial"/>
          <w:szCs w:val="22"/>
        </w:rPr>
        <w:t xml:space="preserve"> million in real property taxes.</w:t>
      </w:r>
    </w:p>
    <w:p w14:paraId="2411D558" w14:textId="77777777" w:rsidR="00F93B5F" w:rsidRDefault="00F93B5F" w:rsidP="00F93B5F">
      <w:pPr>
        <w:autoSpaceDE w:val="0"/>
        <w:autoSpaceDN w:val="0"/>
        <w:adjustRightInd w:val="0"/>
        <w:spacing w:before="120"/>
        <w:rPr>
          <w:rFonts w:ascii="Arial" w:hAnsi="Arial" w:cs="Arial"/>
          <w:szCs w:val="22"/>
        </w:rPr>
      </w:pPr>
      <w:r>
        <w:rPr>
          <w:rFonts w:ascii="Arial" w:hAnsi="Arial" w:cs="Arial"/>
          <w:szCs w:val="22"/>
        </w:rPr>
        <w:t>The data detailed below reflects the top 10 owners of property based on assessed valuation. Taxes shown include combined bills encompassing real property, state assessed utilities, personal property, minerals, oil property, gas property, vehicles and watercrafts. Because tax rates vary by classifications, a higher assessed valuation may not necessarily equate to an overall higher tax bill. All numbers are rounded to the closest $100.</w:t>
      </w:r>
    </w:p>
    <w:p w14:paraId="5B326483" w14:textId="77777777" w:rsidR="00F93B5F" w:rsidRDefault="00F93B5F" w:rsidP="00F93B5F">
      <w:pPr>
        <w:autoSpaceDE w:val="0"/>
        <w:autoSpaceDN w:val="0"/>
        <w:adjustRightInd w:val="0"/>
        <w:spacing w:before="120"/>
        <w:rPr>
          <w:rFonts w:ascii="Arial" w:hAnsi="Arial" w:cs="Arial"/>
          <w:szCs w:val="22"/>
          <w:highlight w:val="yellow"/>
        </w:rPr>
      </w:pPr>
    </w:p>
    <w:tbl>
      <w:tblPr>
        <w:tblW w:w="8250" w:type="dxa"/>
        <w:jc w:val="center"/>
        <w:tblLook w:val="04A0" w:firstRow="1" w:lastRow="0" w:firstColumn="1" w:lastColumn="0" w:noHBand="0" w:noVBand="1"/>
      </w:tblPr>
      <w:tblGrid>
        <w:gridCol w:w="4590"/>
        <w:gridCol w:w="2060"/>
        <w:gridCol w:w="1600"/>
      </w:tblGrid>
      <w:tr w:rsidR="00F93B5F" w14:paraId="292DB89D" w14:textId="77777777" w:rsidTr="00F93B5F">
        <w:trPr>
          <w:trHeight w:val="260"/>
          <w:jc w:val="center"/>
        </w:trPr>
        <w:tc>
          <w:tcPr>
            <w:tcW w:w="4590" w:type="dxa"/>
            <w:tcBorders>
              <w:top w:val="single" w:sz="4" w:space="0" w:color="auto"/>
              <w:left w:val="single" w:sz="8" w:space="0" w:color="auto"/>
              <w:bottom w:val="single" w:sz="8" w:space="0" w:color="auto"/>
              <w:right w:val="single" w:sz="8" w:space="0" w:color="auto"/>
            </w:tcBorders>
            <w:shd w:val="clear" w:color="auto" w:fill="0057B0"/>
            <w:vAlign w:val="center"/>
          </w:tcPr>
          <w:p w14:paraId="3746E3BC" w14:textId="77777777" w:rsidR="00F93B5F" w:rsidRDefault="00F93B5F">
            <w:pPr>
              <w:spacing w:before="120"/>
              <w:jc w:val="center"/>
              <w:rPr>
                <w:rFonts w:ascii="Arial" w:hAnsi="Arial" w:cs="Arial"/>
                <w:b/>
                <w:bCs/>
                <w:color w:val="FFFFFF"/>
                <w:szCs w:val="22"/>
                <w:highlight w:val="yellow"/>
              </w:rPr>
            </w:pPr>
          </w:p>
        </w:tc>
        <w:tc>
          <w:tcPr>
            <w:tcW w:w="3660" w:type="dxa"/>
            <w:gridSpan w:val="2"/>
            <w:tcBorders>
              <w:top w:val="single" w:sz="4" w:space="0" w:color="auto"/>
              <w:left w:val="nil"/>
              <w:bottom w:val="single" w:sz="8" w:space="0" w:color="auto"/>
              <w:right w:val="single" w:sz="8" w:space="0" w:color="auto"/>
            </w:tcBorders>
            <w:shd w:val="clear" w:color="auto" w:fill="0057B0"/>
            <w:vAlign w:val="center"/>
            <w:hideMark/>
          </w:tcPr>
          <w:p w14:paraId="359B7D96" w14:textId="511D7336" w:rsidR="00F93B5F" w:rsidRDefault="00F93B5F">
            <w:pPr>
              <w:spacing w:before="120"/>
              <w:jc w:val="center"/>
              <w:rPr>
                <w:rFonts w:ascii="Arial" w:hAnsi="Arial" w:cs="Arial"/>
                <w:b/>
                <w:bCs/>
                <w:color w:val="FFFFFF"/>
                <w:szCs w:val="22"/>
              </w:rPr>
            </w:pPr>
            <w:r>
              <w:rPr>
                <w:rFonts w:ascii="Arial" w:hAnsi="Arial" w:cs="Arial"/>
                <w:b/>
                <w:bCs/>
                <w:color w:val="FFFFFF"/>
                <w:szCs w:val="22"/>
              </w:rPr>
              <w:t>202</w:t>
            </w:r>
            <w:r w:rsidR="00CD1060">
              <w:rPr>
                <w:rFonts w:ascii="Arial" w:hAnsi="Arial" w:cs="Arial"/>
                <w:b/>
                <w:bCs/>
                <w:color w:val="FFFFFF"/>
                <w:szCs w:val="22"/>
              </w:rPr>
              <w:t>3</w:t>
            </w:r>
          </w:p>
        </w:tc>
      </w:tr>
      <w:tr w:rsidR="00F93B5F" w14:paraId="516413D8" w14:textId="77777777" w:rsidTr="00F93B5F">
        <w:trPr>
          <w:trHeight w:val="564"/>
          <w:jc w:val="center"/>
        </w:trPr>
        <w:tc>
          <w:tcPr>
            <w:tcW w:w="4590" w:type="dxa"/>
            <w:tcBorders>
              <w:top w:val="nil"/>
              <w:left w:val="single" w:sz="8" w:space="0" w:color="auto"/>
              <w:bottom w:val="single" w:sz="8" w:space="0" w:color="auto"/>
              <w:right w:val="single" w:sz="8" w:space="0" w:color="auto"/>
            </w:tcBorders>
            <w:shd w:val="clear" w:color="auto" w:fill="0057B0"/>
            <w:vAlign w:val="center"/>
            <w:hideMark/>
          </w:tcPr>
          <w:p w14:paraId="5A101FB2" w14:textId="77777777" w:rsidR="00F93B5F" w:rsidRDefault="00F93B5F">
            <w:pPr>
              <w:spacing w:before="120"/>
              <w:jc w:val="center"/>
              <w:rPr>
                <w:rFonts w:ascii="Arial" w:hAnsi="Arial" w:cs="Arial"/>
                <w:b/>
                <w:bCs/>
                <w:color w:val="FFFFFF"/>
                <w:szCs w:val="22"/>
              </w:rPr>
            </w:pPr>
            <w:r>
              <w:rPr>
                <w:rFonts w:ascii="Arial" w:hAnsi="Arial" w:cs="Arial"/>
                <w:b/>
                <w:bCs/>
                <w:color w:val="FFFFFF"/>
                <w:szCs w:val="22"/>
              </w:rPr>
              <w:t>Taxpayers</w:t>
            </w:r>
          </w:p>
        </w:tc>
        <w:tc>
          <w:tcPr>
            <w:tcW w:w="2060" w:type="dxa"/>
            <w:tcBorders>
              <w:top w:val="single" w:sz="4" w:space="0" w:color="FFFFFF" w:themeColor="background1"/>
              <w:left w:val="nil"/>
              <w:bottom w:val="single" w:sz="8" w:space="0" w:color="auto"/>
              <w:right w:val="single" w:sz="8" w:space="0" w:color="auto"/>
            </w:tcBorders>
            <w:shd w:val="clear" w:color="auto" w:fill="0057B0"/>
            <w:vAlign w:val="center"/>
            <w:hideMark/>
          </w:tcPr>
          <w:p w14:paraId="379CE680" w14:textId="77777777" w:rsidR="00F93B5F" w:rsidRDefault="00F93B5F">
            <w:pPr>
              <w:spacing w:before="120"/>
              <w:jc w:val="center"/>
              <w:rPr>
                <w:rFonts w:ascii="Arial" w:hAnsi="Arial" w:cs="Arial"/>
                <w:b/>
                <w:bCs/>
                <w:color w:val="FFFFFF"/>
                <w:szCs w:val="22"/>
              </w:rPr>
            </w:pPr>
            <w:r>
              <w:rPr>
                <w:rFonts w:ascii="Arial" w:hAnsi="Arial" w:cs="Arial"/>
                <w:b/>
                <w:bCs/>
                <w:color w:val="FFFFFF"/>
                <w:szCs w:val="22"/>
              </w:rPr>
              <w:t>Total Assessed Value</w:t>
            </w:r>
          </w:p>
        </w:tc>
        <w:tc>
          <w:tcPr>
            <w:tcW w:w="1600" w:type="dxa"/>
            <w:tcBorders>
              <w:top w:val="single" w:sz="4" w:space="0" w:color="FFFFFF" w:themeColor="background1"/>
              <w:left w:val="nil"/>
              <w:bottom w:val="single" w:sz="8" w:space="0" w:color="auto"/>
              <w:right w:val="single" w:sz="8" w:space="0" w:color="auto"/>
            </w:tcBorders>
            <w:shd w:val="clear" w:color="auto" w:fill="0057B0"/>
            <w:vAlign w:val="center"/>
            <w:hideMark/>
          </w:tcPr>
          <w:p w14:paraId="1943997D" w14:textId="77777777" w:rsidR="00F93B5F" w:rsidRDefault="00F93B5F">
            <w:pPr>
              <w:spacing w:before="120"/>
              <w:jc w:val="center"/>
              <w:rPr>
                <w:rFonts w:ascii="Arial" w:hAnsi="Arial" w:cs="Arial"/>
                <w:b/>
                <w:bCs/>
                <w:color w:val="FFFFFF"/>
                <w:szCs w:val="22"/>
              </w:rPr>
            </w:pPr>
            <w:r>
              <w:rPr>
                <w:rFonts w:ascii="Arial" w:hAnsi="Arial" w:cs="Arial"/>
                <w:b/>
                <w:bCs/>
                <w:color w:val="FFFFFF"/>
                <w:szCs w:val="22"/>
              </w:rPr>
              <w:t>Total Taxes</w:t>
            </w:r>
          </w:p>
        </w:tc>
      </w:tr>
      <w:tr w:rsidR="00CD1060" w14:paraId="0A3F019F"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075A3198" w14:textId="17FB0296"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Evergy Metro Inc.</w:t>
            </w:r>
          </w:p>
        </w:tc>
        <w:tc>
          <w:tcPr>
            <w:tcW w:w="2060" w:type="dxa"/>
            <w:tcBorders>
              <w:top w:val="nil"/>
              <w:left w:val="nil"/>
              <w:bottom w:val="single" w:sz="8" w:space="0" w:color="auto"/>
              <w:right w:val="single" w:sz="8" w:space="0" w:color="auto"/>
            </w:tcBorders>
            <w:vAlign w:val="center"/>
            <w:hideMark/>
          </w:tcPr>
          <w:p w14:paraId="2A2D4BD1" w14:textId="57237616"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$42,830,600</w:t>
            </w:r>
          </w:p>
        </w:tc>
        <w:tc>
          <w:tcPr>
            <w:tcW w:w="1600" w:type="dxa"/>
            <w:tcBorders>
              <w:top w:val="nil"/>
              <w:left w:val="nil"/>
              <w:bottom w:val="single" w:sz="8" w:space="0" w:color="auto"/>
              <w:right w:val="single" w:sz="8" w:space="0" w:color="auto"/>
            </w:tcBorders>
            <w:vAlign w:val="center"/>
            <w:hideMark/>
          </w:tcPr>
          <w:p w14:paraId="26C2623A" w14:textId="55379A99"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$4,710,500</w:t>
            </w:r>
          </w:p>
        </w:tc>
      </w:tr>
      <w:tr w:rsidR="00CD1060" w14:paraId="1D6EF120"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2E2DED3B" w14:textId="57766C44"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Union Pacific Railroad Company</w:t>
            </w:r>
          </w:p>
        </w:tc>
        <w:tc>
          <w:tcPr>
            <w:tcW w:w="2060" w:type="dxa"/>
            <w:tcBorders>
              <w:top w:val="nil"/>
              <w:left w:val="nil"/>
              <w:bottom w:val="single" w:sz="8" w:space="0" w:color="auto"/>
              <w:right w:val="single" w:sz="8" w:space="0" w:color="auto"/>
            </w:tcBorders>
            <w:vAlign w:val="center"/>
            <w:hideMark/>
          </w:tcPr>
          <w:p w14:paraId="32F2BA50" w14:textId="77E29B08"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$9,545,000</w:t>
            </w:r>
          </w:p>
        </w:tc>
        <w:tc>
          <w:tcPr>
            <w:tcW w:w="1600" w:type="dxa"/>
            <w:tcBorders>
              <w:top w:val="nil"/>
              <w:left w:val="nil"/>
              <w:bottom w:val="single" w:sz="8" w:space="0" w:color="auto"/>
              <w:right w:val="single" w:sz="8" w:space="0" w:color="auto"/>
            </w:tcBorders>
            <w:vAlign w:val="center"/>
            <w:hideMark/>
          </w:tcPr>
          <w:p w14:paraId="24E26CA6" w14:textId="5CD9D694"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$1,039,300</w:t>
            </w:r>
          </w:p>
        </w:tc>
      </w:tr>
      <w:tr w:rsidR="00CD1060" w14:paraId="5FFBC82E"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442523C7" w14:textId="01EFAE89"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BNSF</w:t>
            </w:r>
          </w:p>
        </w:tc>
        <w:tc>
          <w:tcPr>
            <w:tcW w:w="2060" w:type="dxa"/>
            <w:tcBorders>
              <w:top w:val="nil"/>
              <w:left w:val="nil"/>
              <w:bottom w:val="single" w:sz="8" w:space="0" w:color="auto"/>
              <w:right w:val="single" w:sz="8" w:space="0" w:color="auto"/>
            </w:tcBorders>
            <w:vAlign w:val="center"/>
            <w:hideMark/>
          </w:tcPr>
          <w:p w14:paraId="5FDA6A40" w14:textId="059F9667"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$6,410,600</w:t>
            </w:r>
          </w:p>
        </w:tc>
        <w:tc>
          <w:tcPr>
            <w:tcW w:w="1600" w:type="dxa"/>
            <w:tcBorders>
              <w:top w:val="nil"/>
              <w:left w:val="nil"/>
              <w:bottom w:val="single" w:sz="8" w:space="0" w:color="auto"/>
              <w:right w:val="single" w:sz="8" w:space="0" w:color="auto"/>
            </w:tcBorders>
            <w:vAlign w:val="center"/>
            <w:hideMark/>
          </w:tcPr>
          <w:p w14:paraId="592AF4BC" w14:textId="41EFBBD0"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$645,000</w:t>
            </w:r>
          </w:p>
        </w:tc>
      </w:tr>
      <w:tr w:rsidR="00CD1060" w14:paraId="3E0FA53D"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593B7E87" w14:textId="01EFA9F7"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Phillips 66 Carrier, LLC</w:t>
            </w:r>
          </w:p>
        </w:tc>
        <w:tc>
          <w:tcPr>
            <w:tcW w:w="2060" w:type="dxa"/>
            <w:tcBorders>
              <w:top w:val="nil"/>
              <w:left w:val="nil"/>
              <w:bottom w:val="single" w:sz="8" w:space="0" w:color="auto"/>
              <w:right w:val="single" w:sz="8" w:space="0" w:color="auto"/>
            </w:tcBorders>
            <w:vAlign w:val="center"/>
            <w:hideMark/>
          </w:tcPr>
          <w:p w14:paraId="5A71D782" w14:textId="6DD6430B"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$6,259,500</w:t>
            </w:r>
          </w:p>
        </w:tc>
        <w:tc>
          <w:tcPr>
            <w:tcW w:w="1600" w:type="dxa"/>
            <w:tcBorders>
              <w:top w:val="nil"/>
              <w:left w:val="nil"/>
              <w:bottom w:val="single" w:sz="8" w:space="0" w:color="auto"/>
              <w:right w:val="single" w:sz="8" w:space="0" w:color="auto"/>
            </w:tcBorders>
            <w:vAlign w:val="center"/>
            <w:hideMark/>
          </w:tcPr>
          <w:p w14:paraId="5C658797" w14:textId="4968ED5E"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$636,900</w:t>
            </w:r>
          </w:p>
        </w:tc>
      </w:tr>
      <w:tr w:rsidR="00CD1060" w14:paraId="2F93011C"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7942F8E3" w14:textId="3A077B16"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Panhandle Eastern Pipeline Company</w:t>
            </w:r>
          </w:p>
        </w:tc>
        <w:tc>
          <w:tcPr>
            <w:tcW w:w="2060" w:type="dxa"/>
            <w:tcBorders>
              <w:top w:val="nil"/>
              <w:left w:val="nil"/>
              <w:bottom w:val="single" w:sz="8" w:space="0" w:color="auto"/>
              <w:right w:val="single" w:sz="8" w:space="0" w:color="auto"/>
            </w:tcBorders>
            <w:vAlign w:val="center"/>
            <w:hideMark/>
          </w:tcPr>
          <w:p w14:paraId="1953139B" w14:textId="54CC101B"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$5,557,200</w:t>
            </w:r>
          </w:p>
        </w:tc>
        <w:tc>
          <w:tcPr>
            <w:tcW w:w="1600" w:type="dxa"/>
            <w:tcBorders>
              <w:top w:val="nil"/>
              <w:left w:val="nil"/>
              <w:bottom w:val="single" w:sz="8" w:space="0" w:color="auto"/>
              <w:right w:val="single" w:sz="8" w:space="0" w:color="auto"/>
            </w:tcBorders>
            <w:vAlign w:val="center"/>
            <w:hideMark/>
          </w:tcPr>
          <w:p w14:paraId="2323CD98" w14:textId="5958C7DA"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$533,200</w:t>
            </w:r>
          </w:p>
        </w:tc>
      </w:tr>
      <w:tr w:rsidR="00CD1060" w14:paraId="39107812"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359E4E30" w14:textId="5E259EA1"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 xml:space="preserve">Wal-Mart Real Estate Business </w:t>
            </w:r>
          </w:p>
        </w:tc>
        <w:tc>
          <w:tcPr>
            <w:tcW w:w="2060" w:type="dxa"/>
            <w:tcBorders>
              <w:top w:val="nil"/>
              <w:left w:val="nil"/>
              <w:bottom w:val="single" w:sz="8" w:space="0" w:color="auto"/>
              <w:right w:val="single" w:sz="8" w:space="0" w:color="auto"/>
            </w:tcBorders>
            <w:vAlign w:val="center"/>
            <w:hideMark/>
          </w:tcPr>
          <w:p w14:paraId="152A5810" w14:textId="60E13638"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$1,655,500</w:t>
            </w:r>
          </w:p>
        </w:tc>
        <w:tc>
          <w:tcPr>
            <w:tcW w:w="1600" w:type="dxa"/>
            <w:tcBorders>
              <w:top w:val="nil"/>
              <w:left w:val="nil"/>
              <w:bottom w:val="single" w:sz="8" w:space="0" w:color="auto"/>
              <w:right w:val="single" w:sz="8" w:space="0" w:color="auto"/>
            </w:tcBorders>
            <w:vAlign w:val="center"/>
            <w:hideMark/>
          </w:tcPr>
          <w:p w14:paraId="14812260" w14:textId="44E31ADD"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$217,600</w:t>
            </w:r>
          </w:p>
        </w:tc>
      </w:tr>
      <w:tr w:rsidR="00CD1060" w14:paraId="26EAE52F"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47DB110C" w14:textId="05FE52E4"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 xml:space="preserve">Magellan Pipeline Company LLC </w:t>
            </w:r>
          </w:p>
        </w:tc>
        <w:tc>
          <w:tcPr>
            <w:tcW w:w="2060" w:type="dxa"/>
            <w:tcBorders>
              <w:top w:val="nil"/>
              <w:left w:val="nil"/>
              <w:bottom w:val="single" w:sz="8" w:space="0" w:color="auto"/>
              <w:right w:val="single" w:sz="8" w:space="0" w:color="auto"/>
            </w:tcBorders>
            <w:vAlign w:val="center"/>
            <w:hideMark/>
          </w:tcPr>
          <w:p w14:paraId="3A29D047" w14:textId="2ACC8A2E"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$1,514,300</w:t>
            </w:r>
          </w:p>
        </w:tc>
        <w:tc>
          <w:tcPr>
            <w:tcW w:w="1600" w:type="dxa"/>
            <w:tcBorders>
              <w:top w:val="nil"/>
              <w:left w:val="nil"/>
              <w:bottom w:val="single" w:sz="8" w:space="0" w:color="auto"/>
              <w:right w:val="single" w:sz="8" w:space="0" w:color="auto"/>
            </w:tcBorders>
            <w:vAlign w:val="center"/>
            <w:hideMark/>
          </w:tcPr>
          <w:p w14:paraId="7128023D" w14:textId="4398B03C"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$149,100</w:t>
            </w:r>
          </w:p>
        </w:tc>
      </w:tr>
      <w:tr w:rsidR="00CD1060" w14:paraId="7970729B"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1C66FBD7" w14:textId="43ABC188"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 xml:space="preserve">Kansas Gas Service - A Division </w:t>
            </w:r>
            <w:proofErr w:type="gramStart"/>
            <w:r>
              <w:rPr>
                <w:rFonts w:ascii="Arial" w:hAnsi="Arial" w:cs="Arial"/>
                <w:color w:val="000000"/>
                <w:sz w:val="20"/>
                <w:szCs w:val="20"/>
              </w:rPr>
              <w:t>Of</w:t>
            </w:r>
            <w:proofErr w:type="gramEnd"/>
            <w:r>
              <w:rPr>
                <w:rFonts w:ascii="Arial" w:hAnsi="Arial" w:cs="Arial"/>
                <w:color w:val="000000"/>
                <w:sz w:val="20"/>
                <w:szCs w:val="20"/>
              </w:rPr>
              <w:t xml:space="preserve"> One Gas</w:t>
            </w:r>
          </w:p>
        </w:tc>
        <w:tc>
          <w:tcPr>
            <w:tcW w:w="2060" w:type="dxa"/>
            <w:tcBorders>
              <w:top w:val="nil"/>
              <w:left w:val="nil"/>
              <w:bottom w:val="single" w:sz="8" w:space="0" w:color="auto"/>
              <w:right w:val="single" w:sz="8" w:space="0" w:color="auto"/>
            </w:tcBorders>
            <w:vAlign w:val="center"/>
            <w:hideMark/>
          </w:tcPr>
          <w:p w14:paraId="35D830B0" w14:textId="1B73DF39"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$1,494,800</w:t>
            </w:r>
          </w:p>
        </w:tc>
        <w:tc>
          <w:tcPr>
            <w:tcW w:w="1600" w:type="dxa"/>
            <w:tcBorders>
              <w:top w:val="nil"/>
              <w:left w:val="nil"/>
              <w:bottom w:val="single" w:sz="8" w:space="0" w:color="auto"/>
              <w:right w:val="single" w:sz="8" w:space="0" w:color="auto"/>
            </w:tcBorders>
            <w:vAlign w:val="center"/>
            <w:hideMark/>
          </w:tcPr>
          <w:p w14:paraId="41D091A6" w14:textId="38D90980"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$202,700</w:t>
            </w:r>
          </w:p>
        </w:tc>
      </w:tr>
      <w:tr w:rsidR="00CD1060" w14:paraId="521F8840"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69E99453" w14:textId="20D24857"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ARG VI LLC</w:t>
            </w:r>
          </w:p>
        </w:tc>
        <w:tc>
          <w:tcPr>
            <w:tcW w:w="2060" w:type="dxa"/>
            <w:tcBorders>
              <w:top w:val="nil"/>
              <w:left w:val="nil"/>
              <w:bottom w:val="single" w:sz="8" w:space="0" w:color="auto"/>
              <w:right w:val="single" w:sz="8" w:space="0" w:color="auto"/>
            </w:tcBorders>
            <w:vAlign w:val="center"/>
            <w:hideMark/>
          </w:tcPr>
          <w:p w14:paraId="40EC2345" w14:textId="13D8D709"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$1,480,400</w:t>
            </w:r>
          </w:p>
        </w:tc>
        <w:tc>
          <w:tcPr>
            <w:tcW w:w="1600" w:type="dxa"/>
            <w:tcBorders>
              <w:top w:val="nil"/>
              <w:left w:val="nil"/>
              <w:bottom w:val="single" w:sz="8" w:space="0" w:color="auto"/>
              <w:right w:val="single" w:sz="8" w:space="0" w:color="auto"/>
            </w:tcBorders>
            <w:vAlign w:val="center"/>
            <w:hideMark/>
          </w:tcPr>
          <w:p w14:paraId="3E11F638" w14:textId="73765362"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$213,000</w:t>
            </w:r>
          </w:p>
        </w:tc>
      </w:tr>
      <w:tr w:rsidR="00CD1060" w14:paraId="0639F1EB" w14:textId="77777777" w:rsidTr="00F93B5F">
        <w:trPr>
          <w:trHeight w:hRule="exact" w:val="360"/>
          <w:jc w:val="center"/>
        </w:trPr>
        <w:tc>
          <w:tcPr>
            <w:tcW w:w="4590" w:type="dxa"/>
            <w:tcBorders>
              <w:top w:val="nil"/>
              <w:left w:val="single" w:sz="8" w:space="0" w:color="auto"/>
              <w:bottom w:val="single" w:sz="8" w:space="0" w:color="auto"/>
              <w:right w:val="single" w:sz="8" w:space="0" w:color="auto"/>
            </w:tcBorders>
            <w:vAlign w:val="center"/>
            <w:hideMark/>
          </w:tcPr>
          <w:p w14:paraId="1EBAEB26" w14:textId="2FFCF098" w:rsidR="00CD1060" w:rsidRDefault="00CD1060" w:rsidP="00CD1060">
            <w:pPr>
              <w:spacing w:before="120"/>
              <w:rPr>
                <w:rFonts w:ascii="Arial" w:hAnsi="Arial" w:cs="Arial"/>
                <w:color w:val="000000"/>
                <w:sz w:val="20"/>
                <w:szCs w:val="20"/>
                <w:highlight w:val="yellow"/>
              </w:rPr>
            </w:pPr>
            <w:r>
              <w:rPr>
                <w:rFonts w:ascii="Arial" w:hAnsi="Arial" w:cs="Arial"/>
                <w:color w:val="000000"/>
                <w:sz w:val="20"/>
                <w:szCs w:val="20"/>
              </w:rPr>
              <w:t xml:space="preserve">Southern Star Central Gas Pipe </w:t>
            </w:r>
          </w:p>
        </w:tc>
        <w:tc>
          <w:tcPr>
            <w:tcW w:w="2060" w:type="dxa"/>
            <w:tcBorders>
              <w:top w:val="nil"/>
              <w:left w:val="nil"/>
              <w:bottom w:val="single" w:sz="8" w:space="0" w:color="auto"/>
              <w:right w:val="single" w:sz="8" w:space="0" w:color="auto"/>
            </w:tcBorders>
            <w:vAlign w:val="center"/>
            <w:hideMark/>
          </w:tcPr>
          <w:p w14:paraId="03DBD9DD" w14:textId="15E7B4D4" w:rsidR="00CD1060" w:rsidRDefault="00CD1060" w:rsidP="00CD1060">
            <w:pPr>
              <w:spacing w:before="120"/>
              <w:ind w:right="256"/>
              <w:jc w:val="right"/>
              <w:rPr>
                <w:rFonts w:ascii="Arial" w:hAnsi="Arial" w:cs="Arial"/>
                <w:color w:val="000000"/>
                <w:sz w:val="20"/>
                <w:szCs w:val="20"/>
                <w:highlight w:val="yellow"/>
              </w:rPr>
            </w:pPr>
            <w:r>
              <w:rPr>
                <w:rFonts w:ascii="Arial" w:hAnsi="Arial" w:cs="Arial"/>
                <w:color w:val="000000"/>
                <w:sz w:val="20"/>
                <w:szCs w:val="20"/>
              </w:rPr>
              <w:t>$1,220,600</w:t>
            </w:r>
          </w:p>
        </w:tc>
        <w:tc>
          <w:tcPr>
            <w:tcW w:w="1600" w:type="dxa"/>
            <w:tcBorders>
              <w:top w:val="nil"/>
              <w:left w:val="nil"/>
              <w:bottom w:val="single" w:sz="8" w:space="0" w:color="auto"/>
              <w:right w:val="single" w:sz="8" w:space="0" w:color="auto"/>
            </w:tcBorders>
            <w:vAlign w:val="center"/>
            <w:hideMark/>
          </w:tcPr>
          <w:p w14:paraId="2441AA96" w14:textId="3DCBDFCF" w:rsidR="00CD1060" w:rsidRDefault="00CD1060" w:rsidP="00CD1060">
            <w:pPr>
              <w:spacing w:before="120"/>
              <w:ind w:right="138"/>
              <w:jc w:val="right"/>
              <w:rPr>
                <w:rFonts w:ascii="Arial" w:hAnsi="Arial" w:cs="Arial"/>
                <w:color w:val="000000"/>
                <w:sz w:val="20"/>
                <w:szCs w:val="20"/>
                <w:highlight w:val="yellow"/>
              </w:rPr>
            </w:pPr>
            <w:r>
              <w:rPr>
                <w:rFonts w:ascii="Arial" w:hAnsi="Arial" w:cs="Arial"/>
                <w:color w:val="000000"/>
                <w:sz w:val="20"/>
                <w:szCs w:val="20"/>
              </w:rPr>
              <w:t>$117,900</w:t>
            </w:r>
          </w:p>
        </w:tc>
      </w:tr>
    </w:tbl>
    <w:p w14:paraId="78028B66" w14:textId="77777777" w:rsidR="00F93B5F" w:rsidRDefault="00F93B5F" w:rsidP="00F93B5F">
      <w:pPr>
        <w:widowControl w:val="0"/>
        <w:spacing w:before="120" w:line="264" w:lineRule="auto"/>
        <w:jc w:val="center"/>
        <w:rPr>
          <w:rFonts w:ascii="Arial" w:hAnsi="Arial" w:cs="Arial"/>
          <w:szCs w:val="22"/>
        </w:rPr>
      </w:pPr>
      <w:r>
        <w:rPr>
          <w:rFonts w:ascii="Arial" w:hAnsi="Arial" w:cs="Arial"/>
          <w:b/>
          <w:bCs/>
          <w:szCs w:val="22"/>
        </w:rPr>
        <w:t>Source:</w:t>
      </w:r>
      <w:r>
        <w:rPr>
          <w:rFonts w:ascii="Arial" w:hAnsi="Arial" w:cs="Arial"/>
          <w:szCs w:val="22"/>
        </w:rPr>
        <w:t xml:space="preserve"> Miami County Treasurer's Office</w:t>
      </w:r>
    </w:p>
    <w:p w14:paraId="205A4D33" w14:textId="28300535" w:rsidR="00CD1060" w:rsidRPr="00CD1060" w:rsidRDefault="00F93B5F" w:rsidP="00CD1060">
      <w:pPr>
        <w:spacing w:before="120"/>
        <w:rPr>
          <w:rFonts w:ascii="Arial" w:hAnsi="Arial" w:cs="Arial"/>
          <w:color w:val="000000"/>
          <w:sz w:val="20"/>
          <w:szCs w:val="20"/>
        </w:rPr>
      </w:pPr>
      <w:r>
        <w:rPr>
          <w:rFonts w:ascii="Arial" w:hAnsi="Arial" w:cs="Arial"/>
          <w:szCs w:val="22"/>
        </w:rPr>
        <w:t xml:space="preserve">Rounding out the top 20 are </w:t>
      </w:r>
      <w:r w:rsidR="00CD1060" w:rsidRPr="00CD1060">
        <w:rPr>
          <w:rFonts w:ascii="Arial" w:hAnsi="Arial" w:cs="Arial"/>
          <w:szCs w:val="22"/>
        </w:rPr>
        <w:t>MC Louisburg Retail LLC</w:t>
      </w:r>
      <w:r w:rsidR="00CD1060" w:rsidRPr="00CD1060">
        <w:rPr>
          <w:rFonts w:ascii="Arial" w:hAnsi="Arial" w:cs="Arial"/>
          <w:szCs w:val="22"/>
        </w:rPr>
        <w:t xml:space="preserve">, </w:t>
      </w:r>
      <w:r w:rsidR="00CD1060" w:rsidRPr="00CD1060">
        <w:rPr>
          <w:rFonts w:ascii="Arial" w:hAnsi="Arial" w:cs="Arial"/>
          <w:szCs w:val="22"/>
        </w:rPr>
        <w:t xml:space="preserve">Flashpoint </w:t>
      </w:r>
      <w:proofErr w:type="spellStart"/>
      <w:r w:rsidR="00CD1060" w:rsidRPr="00CD1060">
        <w:rPr>
          <w:rFonts w:ascii="Arial" w:hAnsi="Arial" w:cs="Arial"/>
          <w:szCs w:val="22"/>
        </w:rPr>
        <w:t>Clareview</w:t>
      </w:r>
      <w:proofErr w:type="spellEnd"/>
      <w:r w:rsidR="00CD1060" w:rsidRPr="00CD1060">
        <w:rPr>
          <w:rFonts w:ascii="Arial" w:hAnsi="Arial" w:cs="Arial"/>
          <w:szCs w:val="22"/>
        </w:rPr>
        <w:t xml:space="preserve"> Propco LLC</w:t>
      </w:r>
      <w:r w:rsidR="00CD1060" w:rsidRPr="00CD1060">
        <w:rPr>
          <w:rFonts w:ascii="Arial" w:hAnsi="Arial" w:cs="Arial"/>
          <w:szCs w:val="22"/>
        </w:rPr>
        <w:t xml:space="preserve">, </w:t>
      </w:r>
      <w:r w:rsidR="00CD1060" w:rsidRPr="00CD1060">
        <w:rPr>
          <w:rFonts w:ascii="Arial" w:hAnsi="Arial" w:cs="Arial"/>
          <w:szCs w:val="22"/>
        </w:rPr>
        <w:t>Doherty Ornamental Iron Inc</w:t>
      </w:r>
      <w:r w:rsidR="00CD1060" w:rsidRPr="00CD1060">
        <w:rPr>
          <w:rFonts w:ascii="Arial" w:hAnsi="Arial" w:cs="Arial"/>
          <w:szCs w:val="22"/>
        </w:rPr>
        <w:t xml:space="preserve">, </w:t>
      </w:r>
      <w:proofErr w:type="spellStart"/>
      <w:r w:rsidR="00CD1060" w:rsidRPr="00CD1060">
        <w:rPr>
          <w:rFonts w:ascii="Arial" w:hAnsi="Arial" w:cs="Arial"/>
          <w:szCs w:val="22"/>
        </w:rPr>
        <w:t>JAJ</w:t>
      </w:r>
      <w:proofErr w:type="spellEnd"/>
      <w:r w:rsidR="00CD1060" w:rsidRPr="00CD1060">
        <w:rPr>
          <w:rFonts w:ascii="Arial" w:hAnsi="Arial" w:cs="Arial"/>
          <w:szCs w:val="22"/>
        </w:rPr>
        <w:t xml:space="preserve"> Real Estate LP</w:t>
      </w:r>
      <w:r w:rsidR="00CD1060" w:rsidRPr="00CD1060">
        <w:rPr>
          <w:rFonts w:ascii="Arial" w:hAnsi="Arial" w:cs="Arial"/>
          <w:szCs w:val="22"/>
        </w:rPr>
        <w:t xml:space="preserve">, </w:t>
      </w:r>
      <w:proofErr w:type="spellStart"/>
      <w:r w:rsidR="00CD1060" w:rsidRPr="00CD1060">
        <w:rPr>
          <w:rFonts w:ascii="Arial" w:hAnsi="Arial" w:cs="Arial"/>
          <w:szCs w:val="22"/>
        </w:rPr>
        <w:t>Nexpoint</w:t>
      </w:r>
      <w:proofErr w:type="spellEnd"/>
      <w:r w:rsidR="00CD1060" w:rsidRPr="00CD1060">
        <w:rPr>
          <w:rFonts w:ascii="Arial" w:hAnsi="Arial" w:cs="Arial"/>
          <w:szCs w:val="22"/>
        </w:rPr>
        <w:t xml:space="preserve"> </w:t>
      </w:r>
      <w:proofErr w:type="spellStart"/>
      <w:r w:rsidR="00CD1060" w:rsidRPr="00CD1060">
        <w:rPr>
          <w:rFonts w:ascii="Arial" w:hAnsi="Arial" w:cs="Arial"/>
          <w:szCs w:val="22"/>
        </w:rPr>
        <w:t>SFR</w:t>
      </w:r>
      <w:proofErr w:type="spellEnd"/>
      <w:r w:rsidR="00CD1060" w:rsidRPr="00CD1060">
        <w:rPr>
          <w:rFonts w:ascii="Arial" w:hAnsi="Arial" w:cs="Arial"/>
          <w:szCs w:val="22"/>
        </w:rPr>
        <w:t xml:space="preserve"> SPE 3 LLC</w:t>
      </w:r>
      <w:r w:rsidR="00CD1060" w:rsidRPr="00CD1060">
        <w:rPr>
          <w:rFonts w:ascii="Arial" w:hAnsi="Arial" w:cs="Arial"/>
          <w:szCs w:val="22"/>
        </w:rPr>
        <w:t xml:space="preserve">, </w:t>
      </w:r>
      <w:proofErr w:type="spellStart"/>
      <w:r w:rsidR="00CD1060" w:rsidRPr="00CD1060">
        <w:rPr>
          <w:rFonts w:ascii="Arial" w:hAnsi="Arial" w:cs="Arial"/>
          <w:szCs w:val="22"/>
        </w:rPr>
        <w:t>CPF</w:t>
      </w:r>
      <w:proofErr w:type="spellEnd"/>
      <w:r w:rsidR="00CD1060" w:rsidRPr="00CD1060">
        <w:rPr>
          <w:rFonts w:ascii="Arial" w:hAnsi="Arial" w:cs="Arial"/>
          <w:szCs w:val="22"/>
        </w:rPr>
        <w:t xml:space="preserve"> Landlord LLC</w:t>
      </w:r>
      <w:r w:rsidR="00CD1060" w:rsidRPr="00CD1060">
        <w:rPr>
          <w:rFonts w:ascii="Arial" w:hAnsi="Arial" w:cs="Arial"/>
          <w:szCs w:val="22"/>
        </w:rPr>
        <w:t xml:space="preserve">, </w:t>
      </w:r>
      <w:r w:rsidR="00CD1060" w:rsidRPr="00CD1060">
        <w:rPr>
          <w:rFonts w:ascii="Arial" w:hAnsi="Arial" w:cs="Arial"/>
          <w:szCs w:val="22"/>
        </w:rPr>
        <w:t>P &amp; A Properties Spring Hill</w:t>
      </w:r>
      <w:r w:rsidR="00CD1060" w:rsidRPr="00CD1060">
        <w:rPr>
          <w:rFonts w:ascii="Arial" w:hAnsi="Arial" w:cs="Arial"/>
          <w:szCs w:val="22"/>
        </w:rPr>
        <w:t xml:space="preserve">, </w:t>
      </w:r>
      <w:r w:rsidR="00CD1060" w:rsidRPr="00CD1060">
        <w:rPr>
          <w:rFonts w:ascii="Arial" w:hAnsi="Arial" w:cs="Arial"/>
          <w:szCs w:val="22"/>
        </w:rPr>
        <w:t>MoKan Communications</w:t>
      </w:r>
      <w:r w:rsidR="00CD1060" w:rsidRPr="00CD1060">
        <w:rPr>
          <w:rFonts w:ascii="Arial" w:hAnsi="Arial" w:cs="Arial"/>
          <w:szCs w:val="22"/>
        </w:rPr>
        <w:t xml:space="preserve"> and </w:t>
      </w:r>
      <w:r w:rsidR="00CD1060" w:rsidRPr="00CD1060">
        <w:rPr>
          <w:rFonts w:ascii="Arial" w:hAnsi="Arial" w:cs="Arial"/>
          <w:szCs w:val="22"/>
        </w:rPr>
        <w:t>Great Southern Bank</w:t>
      </w:r>
      <w:r w:rsidR="00CD1060" w:rsidRPr="00CD1060">
        <w:rPr>
          <w:rFonts w:ascii="Arial" w:hAnsi="Arial" w:cs="Arial"/>
          <w:szCs w:val="22"/>
        </w:rPr>
        <w:t>.</w:t>
      </w:r>
    </w:p>
    <w:p w14:paraId="14AACFC1" w14:textId="50E114CB" w:rsidR="00F93B5F" w:rsidRDefault="00F93B5F" w:rsidP="00F93B5F">
      <w:pPr>
        <w:spacing w:before="120"/>
        <w:rPr>
          <w:rFonts w:ascii="Arial" w:hAnsi="Arial" w:cs="Arial"/>
          <w:szCs w:val="22"/>
        </w:rPr>
      </w:pPr>
    </w:p>
    <w:p w14:paraId="77F0D0CA" w14:textId="77777777" w:rsidR="00F93B5F" w:rsidRDefault="00F93B5F" w:rsidP="00F93B5F">
      <w:pPr>
        <w:spacing w:before="120"/>
        <w:jc w:val="center"/>
        <w:rPr>
          <w:rFonts w:ascii="Arial" w:hAnsi="Arial" w:cs="Arial"/>
          <w:i/>
          <w:sz w:val="16"/>
          <w:szCs w:val="16"/>
        </w:rPr>
      </w:pPr>
    </w:p>
    <w:p w14:paraId="6C86BFA1" w14:textId="77777777" w:rsidR="00F93B5F" w:rsidRDefault="00F93B5F" w:rsidP="00F93B5F">
      <w:pPr>
        <w:spacing w:before="120"/>
        <w:jc w:val="center"/>
        <w:rPr>
          <w:rFonts w:ascii="Arial" w:hAnsi="Arial" w:cs="Arial"/>
          <w:i/>
          <w:sz w:val="16"/>
          <w:szCs w:val="16"/>
        </w:rPr>
      </w:pPr>
      <w:r>
        <w:rPr>
          <w:rFonts w:ascii="Arial" w:hAnsi="Arial" w:cs="Arial"/>
          <w:i/>
          <w:sz w:val="16"/>
          <w:szCs w:val="16"/>
        </w:rPr>
        <w:t>Quarterly data points are shared with the local cities and chambers of commerce for their use.</w:t>
      </w:r>
    </w:p>
    <w:p w14:paraId="4A6E5A77" w14:textId="42DB0381" w:rsidR="00403B54" w:rsidRPr="00125353" w:rsidRDefault="00F93B5F" w:rsidP="00CD1060">
      <w:pPr>
        <w:spacing w:before="120"/>
        <w:jc w:val="center"/>
        <w:rPr>
          <w:rFonts w:ascii="Arial" w:hAnsi="Arial" w:cs="Arial"/>
        </w:rPr>
      </w:pPr>
      <w:smartTag w:uri="urn:schemas-microsoft-com:office:smarttags" w:element="place">
        <w:smartTag w:uri="urn:schemas-microsoft-com:office:smarttags" w:element="PlaceName">
          <w:r>
            <w:rPr>
              <w:rFonts w:ascii="Calibri" w:hAnsi="Calibri" w:cs="Calibri"/>
              <w:color w:val="000000"/>
              <w:sz w:val="16"/>
              <w:szCs w:val="16"/>
            </w:rPr>
            <w:t>Miami</w:t>
          </w:r>
        </w:smartTag>
        <w:r>
          <w:rPr>
            <w:rFonts w:ascii="Calibri" w:hAnsi="Calibri" w:cs="Calibri"/>
            <w:color w:val="000000"/>
            <w:sz w:val="16"/>
            <w:szCs w:val="16"/>
          </w:rPr>
          <w:t xml:space="preserve"> </w:t>
        </w:r>
        <w:smartTag w:uri="urn:schemas-microsoft-com:office:smarttags" w:element="PlaceType">
          <w:r>
            <w:rPr>
              <w:rFonts w:ascii="Calibri" w:hAnsi="Calibri" w:cs="Calibri"/>
              <w:color w:val="000000"/>
              <w:sz w:val="16"/>
              <w:szCs w:val="16"/>
            </w:rPr>
            <w:t>County</w:t>
          </w:r>
        </w:smartTag>
      </w:smartTag>
      <w:r>
        <w:rPr>
          <w:rFonts w:ascii="Calibri" w:hAnsi="Calibri" w:cs="Calibri"/>
          <w:color w:val="000000"/>
          <w:sz w:val="16"/>
          <w:szCs w:val="16"/>
        </w:rPr>
        <w:t xml:space="preserve"> is an equal opportunity provider and employer.</w:t>
      </w:r>
    </w:p>
    <w:sectPr w:rsidR="00403B54" w:rsidRPr="00125353" w:rsidSect="00403B54">
      <w:headerReference w:type="default" r:id="rId6"/>
      <w:headerReference w:type="first" r:id="rId7"/>
      <w:footerReference w:type="first" r:id="rId8"/>
      <w:pgSz w:w="12240" w:h="15840"/>
      <w:pgMar w:top="1440" w:right="1440" w:bottom="1440" w:left="1440"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1CCF" w14:textId="77777777" w:rsidR="00240747" w:rsidRDefault="00240747" w:rsidP="00240747">
      <w:pPr>
        <w:spacing w:before="120"/>
      </w:pPr>
      <w:r>
        <w:separator/>
      </w:r>
    </w:p>
  </w:endnote>
  <w:endnote w:type="continuationSeparator" w:id="0">
    <w:p w14:paraId="4208609A" w14:textId="77777777" w:rsidR="00240747" w:rsidRDefault="00240747" w:rsidP="0024074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parral Pro">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11FD" w14:textId="77777777" w:rsidR="00FA51B1" w:rsidRDefault="00FA51B1" w:rsidP="00403B54">
    <w:pPr>
      <w:pStyle w:val="BodyText"/>
      <w:kinsoku w:val="0"/>
      <w:overflowPunct w:val="0"/>
      <w:spacing w:after="0" w:line="212" w:lineRule="exact"/>
      <w:jc w:val="center"/>
      <w:rPr>
        <w:color w:val="0C2340"/>
      </w:rPr>
    </w:pPr>
    <w:r>
      <w:rPr>
        <w:noProof/>
      </w:rPr>
      <mc:AlternateContent>
        <mc:Choice Requires="wps">
          <w:drawing>
            <wp:anchor distT="0" distB="0" distL="114300" distR="114300" simplePos="0" relativeHeight="251665408" behindDoc="1" locked="0" layoutInCell="0" allowOverlap="1" wp14:anchorId="60D5C209" wp14:editId="0381ADDD">
              <wp:simplePos x="0" y="0"/>
              <wp:positionH relativeFrom="page">
                <wp:posOffset>0</wp:posOffset>
              </wp:positionH>
              <wp:positionV relativeFrom="paragraph">
                <wp:posOffset>-32385</wp:posOffset>
              </wp:positionV>
              <wp:extent cx="7771765" cy="12700"/>
              <wp:effectExtent l="0" t="0" r="0" b="0"/>
              <wp:wrapNone/>
              <wp:docPr id="26577772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765" cy="12700"/>
                      </a:xfrm>
                      <a:custGeom>
                        <a:avLst/>
                        <a:gdLst>
                          <a:gd name="T0" fmla="*/ 0 w 12239"/>
                          <a:gd name="T1" fmla="*/ 0 h 20"/>
                          <a:gd name="T2" fmla="*/ 12239 w 12239"/>
                          <a:gd name="T3" fmla="*/ 0 h 20"/>
                        </a:gdLst>
                        <a:ahLst/>
                        <a:cxnLst>
                          <a:cxn ang="0">
                            <a:pos x="T0" y="T1"/>
                          </a:cxn>
                          <a:cxn ang="0">
                            <a:pos x="T2" y="T3"/>
                          </a:cxn>
                        </a:cxnLst>
                        <a:rect l="0" t="0" r="r" b="b"/>
                        <a:pathLst>
                          <a:path w="12239" h="20">
                            <a:moveTo>
                              <a:pt x="0" y="0"/>
                            </a:moveTo>
                            <a:lnTo>
                              <a:pt x="12239" y="0"/>
                            </a:lnTo>
                          </a:path>
                        </a:pathLst>
                      </a:custGeom>
                      <a:noFill/>
                      <a:ln w="55277">
                        <a:solidFill>
                          <a:srgbClr val="0C23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BF73AC" id="Freeform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0,-2.55pt,611.95pt,-2.55pt" coordsize="12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" o:allowincell="f" filled="f" strokecolor="#0c2340" strokeweight="1.53547mm">
              <v:path arrowok="t" o:connecttype="custom" o:connectlocs="0,0;7771765,0" o:connectangles="0,0"/>
              <w10:wrap anchorx="page"/>
            </v:polyline>
          </w:pict>
        </mc:Fallback>
      </mc:AlternateContent>
    </w:r>
    <w:r>
      <w:rPr>
        <w:color w:val="0C2340"/>
      </w:rPr>
      <w:t>Miami County, Kansas | 201 S Pearl, Suite 202 - Paola, KS 66071 | P: (913) 294-4045 | F: (913) 285-6435</w:t>
    </w:r>
  </w:p>
  <w:p w14:paraId="4DE81996" w14:textId="77777777" w:rsidR="00FA51B1" w:rsidRDefault="00FA51B1" w:rsidP="00403B54">
    <w:pPr>
      <w:pStyle w:val="BodyText"/>
      <w:kinsoku w:val="0"/>
      <w:overflowPunct w:val="0"/>
      <w:spacing w:after="0" w:line="212" w:lineRule="exact"/>
      <w:jc w:val="center"/>
      <w:rPr>
        <w:color w:val="0C2340"/>
      </w:rPr>
    </w:pPr>
    <w:r>
      <w:rPr>
        <w:color w:val="0C2340"/>
      </w:rPr>
      <w:t>Economic Development | Janet McRae, Director | JMcRae@MiamiCountyKS.org</w:t>
    </w:r>
  </w:p>
  <w:p w14:paraId="6231307A" w14:textId="20F79B8D" w:rsidR="00FA51B1" w:rsidRDefault="00FA51B1" w:rsidP="00403B54">
    <w:pPr>
      <w:pStyle w:val="BodyText"/>
      <w:kinsoku w:val="0"/>
      <w:overflowPunct w:val="0"/>
      <w:spacing w:after="0" w:line="212" w:lineRule="exact"/>
      <w:jc w:val="center"/>
    </w:pPr>
    <w:r>
      <w:rPr>
        <w:color w:val="0C2340"/>
      </w:rPr>
      <w:t>www.MiamiCountyKS.org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C5B9" w14:textId="77777777" w:rsidR="00240747" w:rsidRDefault="00240747" w:rsidP="00240747">
      <w:pPr>
        <w:spacing w:before="120"/>
      </w:pPr>
      <w:r>
        <w:separator/>
      </w:r>
    </w:p>
  </w:footnote>
  <w:footnote w:type="continuationSeparator" w:id="0">
    <w:p w14:paraId="2352D65D" w14:textId="77777777" w:rsidR="00240747" w:rsidRDefault="00240747" w:rsidP="00240747">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25AB" w14:textId="51088A27" w:rsidR="00240747" w:rsidRDefault="00240747" w:rsidP="00240747">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DBA1" w14:textId="00FAD119" w:rsidR="00FA51B1" w:rsidRDefault="00403B54" w:rsidP="00403B54">
    <w:pPr>
      <w:pStyle w:val="Header"/>
      <w:tabs>
        <w:tab w:val="left" w:pos="4770"/>
      </w:tabs>
      <w:ind w:left="-1440" w:right="-1440"/>
    </w:pPr>
    <w:r>
      <w:rPr>
        <w:noProof/>
      </w:rPr>
      <mc:AlternateContent>
        <mc:Choice Requires="wps">
          <w:drawing>
            <wp:anchor distT="0" distB="0" distL="114300" distR="114300" simplePos="0" relativeHeight="251662336" behindDoc="0" locked="0" layoutInCell="1" allowOverlap="1" wp14:anchorId="1BC8B7AB" wp14:editId="61D94621">
              <wp:simplePos x="0" y="0"/>
              <wp:positionH relativeFrom="column">
                <wp:posOffset>-891540</wp:posOffset>
              </wp:positionH>
              <wp:positionV relativeFrom="paragraph">
                <wp:posOffset>83820</wp:posOffset>
              </wp:positionV>
              <wp:extent cx="7735570" cy="0"/>
              <wp:effectExtent l="0" t="152400" r="55880" b="152400"/>
              <wp:wrapNone/>
              <wp:docPr id="1504076331" name="Straight Connector 2"/>
              <wp:cNvGraphicFramePr/>
              <a:graphic xmlns:a="http://schemas.openxmlformats.org/drawingml/2006/main">
                <a:graphicData uri="http://schemas.microsoft.com/office/word/2010/wordprocessingShape">
                  <wps:wsp>
                    <wps:cNvCnPr/>
                    <wps:spPr>
                      <a:xfrm>
                        <a:off x="0" y="0"/>
                        <a:ext cx="7735570" cy="0"/>
                      </a:xfrm>
                      <a:prstGeom prst="line">
                        <a:avLst/>
                      </a:prstGeom>
                      <a:ln w="304800">
                        <a:solidFill>
                          <a:srgbClr val="0C234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3ED1EA0F"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2pt,6.6pt" to="538.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" strokecolor="#0c2340" strokeweight="24pt">
              <v:stroke joinstyle="miter"/>
            </v:line>
          </w:pict>
        </mc:Fallback>
      </mc:AlternateContent>
    </w:r>
    <w:r w:rsidR="002B553F">
      <w:rPr>
        <w:noProof/>
      </w:rPr>
      <w:drawing>
        <wp:anchor distT="0" distB="0" distL="114300" distR="114300" simplePos="0" relativeHeight="251663360" behindDoc="0" locked="0" layoutInCell="1" allowOverlap="1" wp14:anchorId="317EF078" wp14:editId="676442F7">
          <wp:simplePos x="0" y="0"/>
          <wp:positionH relativeFrom="column">
            <wp:align>center</wp:align>
          </wp:positionH>
          <wp:positionV relativeFrom="paragraph">
            <wp:posOffset>-266700</wp:posOffset>
          </wp:positionV>
          <wp:extent cx="1603913" cy="822960"/>
          <wp:effectExtent l="0" t="0" r="0" b="0"/>
          <wp:wrapSquare wrapText="bothSides"/>
          <wp:docPr id="2098723132"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77468" name="Picture 1" descr="A logo of a build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913" cy="8229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47"/>
    <w:rsid w:val="00125353"/>
    <w:rsid w:val="001B2047"/>
    <w:rsid w:val="00240747"/>
    <w:rsid w:val="002B553F"/>
    <w:rsid w:val="00403B54"/>
    <w:rsid w:val="0041334A"/>
    <w:rsid w:val="004A78BB"/>
    <w:rsid w:val="006C28A1"/>
    <w:rsid w:val="008D4BBC"/>
    <w:rsid w:val="00CD1060"/>
    <w:rsid w:val="00F2235F"/>
    <w:rsid w:val="00F93B5F"/>
    <w:rsid w:val="00FA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1D784AC3"/>
  <w15:chartTrackingRefBased/>
  <w15:docId w15:val="{369D1A11-7E17-4162-869A-A7C89E80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5F"/>
    <w:pPr>
      <w:spacing w:beforeLines="50" w:after="0" w:line="240" w:lineRule="auto"/>
    </w:pPr>
    <w:rPr>
      <w:rFonts w:ascii="Cambria" w:eastAsia="Times New Roman" w:hAnsi="Cambria"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747"/>
    <w:pPr>
      <w:tabs>
        <w:tab w:val="center" w:pos="4680"/>
        <w:tab w:val="right" w:pos="9360"/>
      </w:tabs>
      <w:spacing w:beforeLines="0"/>
    </w:pPr>
    <w:rPr>
      <w:rFonts w:asciiTheme="minorHAnsi" w:eastAsiaTheme="minorHAnsi" w:hAnsiTheme="minorHAnsi" w:cstheme="minorBidi"/>
      <w:kern w:val="2"/>
      <w:szCs w:val="22"/>
      <w14:ligatures w14:val="standardContextual"/>
    </w:rPr>
  </w:style>
  <w:style w:type="character" w:customStyle="1" w:styleId="HeaderChar">
    <w:name w:val="Header Char"/>
    <w:basedOn w:val="DefaultParagraphFont"/>
    <w:link w:val="Header"/>
    <w:uiPriority w:val="99"/>
    <w:rsid w:val="00240747"/>
  </w:style>
  <w:style w:type="paragraph" w:styleId="Footer">
    <w:name w:val="footer"/>
    <w:basedOn w:val="Normal"/>
    <w:link w:val="FooterChar"/>
    <w:uiPriority w:val="99"/>
    <w:unhideWhenUsed/>
    <w:rsid w:val="00240747"/>
    <w:pPr>
      <w:tabs>
        <w:tab w:val="center" w:pos="4680"/>
        <w:tab w:val="right" w:pos="9360"/>
      </w:tabs>
    </w:pPr>
  </w:style>
  <w:style w:type="character" w:customStyle="1" w:styleId="FooterChar">
    <w:name w:val="Footer Char"/>
    <w:basedOn w:val="DefaultParagraphFont"/>
    <w:link w:val="Footer"/>
    <w:uiPriority w:val="99"/>
    <w:rsid w:val="00240747"/>
  </w:style>
  <w:style w:type="paragraph" w:styleId="BodyText">
    <w:name w:val="Body Text"/>
    <w:basedOn w:val="Normal"/>
    <w:link w:val="BodyTextChar"/>
    <w:uiPriority w:val="1"/>
    <w:qFormat/>
    <w:rsid w:val="00240747"/>
    <w:pPr>
      <w:spacing w:beforeLines="0" w:after="160" w:line="259" w:lineRule="auto"/>
    </w:pPr>
    <w:rPr>
      <w:rFonts w:ascii="Chaparral Pro" w:eastAsiaTheme="minorEastAsia" w:hAnsi="Chaparral Pro" w:cs="Chaparral Pro"/>
      <w:sz w:val="18"/>
      <w:szCs w:val="18"/>
    </w:rPr>
  </w:style>
  <w:style w:type="character" w:customStyle="1" w:styleId="BodyTextChar">
    <w:name w:val="Body Text Char"/>
    <w:basedOn w:val="DefaultParagraphFont"/>
    <w:link w:val="BodyText"/>
    <w:uiPriority w:val="1"/>
    <w:rsid w:val="00240747"/>
    <w:rPr>
      <w:rFonts w:ascii="Chaparral Pro" w:eastAsiaTheme="minorEastAsia" w:hAnsi="Chaparral Pro" w:cs="Chaparral Pro"/>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51485">
      <w:bodyDiv w:val="1"/>
      <w:marLeft w:val="0"/>
      <w:marRight w:val="0"/>
      <w:marTop w:val="0"/>
      <w:marBottom w:val="0"/>
      <w:divBdr>
        <w:top w:val="none" w:sz="0" w:space="0" w:color="auto"/>
        <w:left w:val="none" w:sz="0" w:space="0" w:color="auto"/>
        <w:bottom w:val="none" w:sz="0" w:space="0" w:color="auto"/>
        <w:right w:val="none" w:sz="0" w:space="0" w:color="auto"/>
      </w:divBdr>
    </w:div>
    <w:div w:id="1032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McRae</dc:creator>
  <cp:keywords/>
  <dc:description/>
  <cp:lastModifiedBy>Janet McRae</cp:lastModifiedBy>
  <cp:revision>3</cp:revision>
  <cp:lastPrinted>2024-03-06T18:28:00Z</cp:lastPrinted>
  <dcterms:created xsi:type="dcterms:W3CDTF">2024-04-08T14:16:00Z</dcterms:created>
  <dcterms:modified xsi:type="dcterms:W3CDTF">2024-04-08T14:30:00Z</dcterms:modified>
</cp:coreProperties>
</file>